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811A3" w14:textId="5CDEFE31" w:rsidR="00B123CF" w:rsidRDefault="00B123CF" w:rsidP="00B123CF">
      <w:pPr>
        <w:jc w:val="right"/>
      </w:pPr>
      <w:r>
        <w:t xml:space="preserve">п. </w:t>
      </w:r>
      <w:r w:rsidR="00AF61A9">
        <w:t>3.</w:t>
      </w:r>
      <w:r w:rsidR="00CE0479">
        <w:t>2</w:t>
      </w:r>
      <w:r>
        <w:t xml:space="preserve">. </w:t>
      </w:r>
      <w:r w:rsidR="00513399">
        <w:t>Приложения 1 к Указанию Банка России от 02.11.2020 № 5609-У</w:t>
      </w:r>
    </w:p>
    <w:p w14:paraId="5A8CCBA2" w14:textId="657AFB57" w:rsidR="002B397A" w:rsidRPr="002B397A" w:rsidRDefault="00CE0479" w:rsidP="002B397A">
      <w:pPr>
        <w:spacing w:after="0" w:line="240" w:lineRule="auto"/>
        <w:jc w:val="center"/>
        <w:rPr>
          <w:rFonts w:ascii="Calibri" w:eastAsia="Times New Roman" w:hAnsi="Calibri" w:cs="Calibri"/>
          <w:color w:val="000000"/>
          <w:sz w:val="28"/>
          <w:lang w:eastAsia="ru-RU"/>
        </w:rPr>
      </w:pPr>
      <w:r w:rsidRPr="00CE0479">
        <w:rPr>
          <w:rFonts w:ascii="Calibri" w:eastAsia="Times New Roman" w:hAnsi="Calibri" w:cs="Calibri"/>
          <w:color w:val="000000"/>
          <w:sz w:val="28"/>
          <w:lang w:eastAsia="ru-RU"/>
        </w:rPr>
        <w:t>Сообщение о регистрации Банком России изменений и дополнений, вносимых в правила доверительного управления паевым инвестиционным фондом:</w:t>
      </w:r>
    </w:p>
    <w:tbl>
      <w:tblPr>
        <w:tblStyle w:val="a3"/>
        <w:tblW w:w="9458" w:type="dxa"/>
        <w:tblLook w:val="04A0" w:firstRow="1" w:lastRow="0" w:firstColumn="1" w:lastColumn="0" w:noHBand="0" w:noVBand="1"/>
      </w:tblPr>
      <w:tblGrid>
        <w:gridCol w:w="636"/>
        <w:gridCol w:w="4712"/>
        <w:gridCol w:w="4110"/>
      </w:tblGrid>
      <w:tr w:rsidR="00B123CF" w:rsidRPr="002B397A" w14:paraId="53C56FBC" w14:textId="77777777" w:rsidTr="00D634CC">
        <w:tc>
          <w:tcPr>
            <w:tcW w:w="636" w:type="dxa"/>
            <w:vAlign w:val="center"/>
          </w:tcPr>
          <w:p w14:paraId="67DFD6F6" w14:textId="77777777" w:rsidR="00B123CF" w:rsidRPr="002B397A" w:rsidRDefault="00B123CF" w:rsidP="00D634CC">
            <w:pPr>
              <w:rPr>
                <w:sz w:val="28"/>
                <w:szCs w:val="28"/>
              </w:rPr>
            </w:pPr>
            <w:r w:rsidRPr="002B397A">
              <w:rPr>
                <w:b/>
                <w:bCs/>
                <w:sz w:val="28"/>
                <w:szCs w:val="28"/>
              </w:rPr>
              <w:t>№ </w:t>
            </w:r>
          </w:p>
        </w:tc>
        <w:tc>
          <w:tcPr>
            <w:tcW w:w="4712" w:type="dxa"/>
            <w:vAlign w:val="center"/>
          </w:tcPr>
          <w:p w14:paraId="11469282" w14:textId="77777777" w:rsidR="00B123CF" w:rsidRPr="002B397A" w:rsidRDefault="00B123CF" w:rsidP="00D634CC">
            <w:pPr>
              <w:rPr>
                <w:sz w:val="28"/>
                <w:szCs w:val="28"/>
              </w:rPr>
            </w:pPr>
            <w:r w:rsidRPr="002B397A">
              <w:rPr>
                <w:b/>
                <w:bCs/>
                <w:sz w:val="28"/>
                <w:szCs w:val="28"/>
              </w:rPr>
              <w:t>Наименование показателя</w:t>
            </w:r>
          </w:p>
        </w:tc>
        <w:tc>
          <w:tcPr>
            <w:tcW w:w="4110" w:type="dxa"/>
            <w:vAlign w:val="center"/>
          </w:tcPr>
          <w:p w14:paraId="5B6F315C" w14:textId="77777777" w:rsidR="00B123CF" w:rsidRPr="002B397A" w:rsidRDefault="00B123CF" w:rsidP="00D634CC">
            <w:pPr>
              <w:rPr>
                <w:sz w:val="28"/>
                <w:szCs w:val="28"/>
              </w:rPr>
            </w:pPr>
            <w:r w:rsidRPr="002B397A">
              <w:rPr>
                <w:b/>
                <w:bCs/>
                <w:sz w:val="28"/>
                <w:szCs w:val="28"/>
              </w:rPr>
              <w:t>Информация, подлежащая раскрытию</w:t>
            </w:r>
          </w:p>
        </w:tc>
      </w:tr>
      <w:tr w:rsidR="00CE0479" w:rsidRPr="002B397A" w14:paraId="382A06E4" w14:textId="77777777" w:rsidTr="00D634CC">
        <w:tc>
          <w:tcPr>
            <w:tcW w:w="636" w:type="dxa"/>
            <w:vAlign w:val="center"/>
          </w:tcPr>
          <w:p w14:paraId="585C6CEA" w14:textId="77777777" w:rsidR="00CE0479" w:rsidRPr="002B397A" w:rsidRDefault="00CE0479" w:rsidP="00CE0479">
            <w:pPr>
              <w:rPr>
                <w:sz w:val="28"/>
                <w:szCs w:val="28"/>
              </w:rPr>
            </w:pPr>
            <w:r w:rsidRPr="002B397A">
              <w:rPr>
                <w:sz w:val="28"/>
                <w:szCs w:val="28"/>
              </w:rPr>
              <w:t>1</w:t>
            </w:r>
          </w:p>
        </w:tc>
        <w:tc>
          <w:tcPr>
            <w:tcW w:w="4712" w:type="dxa"/>
          </w:tcPr>
          <w:p w14:paraId="6CCB433E" w14:textId="05813468" w:rsidR="00CE0479" w:rsidRPr="00CE0479" w:rsidRDefault="00513399" w:rsidP="00CE0479">
            <w:pPr>
              <w:rPr>
                <w:sz w:val="24"/>
                <w:szCs w:val="28"/>
              </w:rPr>
            </w:pPr>
            <w:r w:rsidRPr="00CE0479">
              <w:rPr>
                <w:rFonts w:ascii="Calibri" w:hAnsi="Calibri" w:cs="Calibri"/>
                <w:color w:val="000000"/>
                <w:sz w:val="24"/>
              </w:rPr>
              <w:t>Д</w:t>
            </w:r>
            <w:r w:rsidR="00CE0479" w:rsidRPr="00CE0479">
              <w:rPr>
                <w:rFonts w:ascii="Calibri" w:hAnsi="Calibri" w:cs="Calibri"/>
                <w:color w:val="000000"/>
                <w:sz w:val="24"/>
              </w:rPr>
              <w:t>ата регистрации изменений и дополнений, вносимых в правила доверительного управления паевым инвестиционным фондом;</w:t>
            </w:r>
          </w:p>
        </w:tc>
        <w:tc>
          <w:tcPr>
            <w:tcW w:w="4110" w:type="dxa"/>
            <w:vAlign w:val="center"/>
          </w:tcPr>
          <w:p w14:paraId="4CDF937D" w14:textId="77777777" w:rsidR="00CE0479" w:rsidRPr="002B397A" w:rsidRDefault="00CE0479" w:rsidP="00CE0479">
            <w:pPr>
              <w:rPr>
                <w:sz w:val="28"/>
                <w:szCs w:val="28"/>
              </w:rPr>
            </w:pPr>
            <w:bookmarkStart w:id="0" w:name="_GoBack"/>
            <w:bookmarkEnd w:id="0"/>
          </w:p>
        </w:tc>
      </w:tr>
      <w:tr w:rsidR="00CE0479" w:rsidRPr="002B397A" w14:paraId="34507559" w14:textId="77777777" w:rsidTr="00D634CC">
        <w:tc>
          <w:tcPr>
            <w:tcW w:w="636" w:type="dxa"/>
            <w:vAlign w:val="center"/>
          </w:tcPr>
          <w:p w14:paraId="3F57228F" w14:textId="77777777" w:rsidR="00CE0479" w:rsidRPr="002B397A" w:rsidRDefault="00CE0479" w:rsidP="00CE0479">
            <w:pPr>
              <w:rPr>
                <w:sz w:val="28"/>
                <w:szCs w:val="28"/>
              </w:rPr>
            </w:pPr>
            <w:r w:rsidRPr="002B397A">
              <w:rPr>
                <w:sz w:val="28"/>
                <w:szCs w:val="28"/>
              </w:rPr>
              <w:t>2</w:t>
            </w:r>
          </w:p>
        </w:tc>
        <w:tc>
          <w:tcPr>
            <w:tcW w:w="4712" w:type="dxa"/>
          </w:tcPr>
          <w:p w14:paraId="0CD5979A" w14:textId="28459772" w:rsidR="00CE0479" w:rsidRPr="00CE0479" w:rsidRDefault="00513399" w:rsidP="00CE0479">
            <w:pPr>
              <w:rPr>
                <w:sz w:val="24"/>
                <w:szCs w:val="28"/>
              </w:rPr>
            </w:pPr>
            <w:r w:rsidRPr="00CE0479">
              <w:rPr>
                <w:rFonts w:ascii="Calibri" w:hAnsi="Calibri" w:cs="Calibri"/>
                <w:color w:val="000000"/>
                <w:sz w:val="24"/>
              </w:rPr>
              <w:t>Д</w:t>
            </w:r>
            <w:r w:rsidR="00CE0479" w:rsidRPr="00CE0479">
              <w:rPr>
                <w:rFonts w:ascii="Calibri" w:hAnsi="Calibri" w:cs="Calibri"/>
                <w:color w:val="000000"/>
                <w:sz w:val="24"/>
              </w:rPr>
              <w:t>ата вступления в силу зарегистрированных Банком России изменений и дополнений, вносимых в правила доверительного управления паевым инвестиционным фондом, или порядок ее определения;</w:t>
            </w:r>
          </w:p>
        </w:tc>
        <w:tc>
          <w:tcPr>
            <w:tcW w:w="4110" w:type="dxa"/>
            <w:vAlign w:val="center"/>
          </w:tcPr>
          <w:p w14:paraId="7925A5A4" w14:textId="77777777" w:rsidR="00CE0479" w:rsidRPr="002B397A" w:rsidRDefault="00CE0479" w:rsidP="00CE0479">
            <w:pPr>
              <w:rPr>
                <w:sz w:val="28"/>
                <w:szCs w:val="28"/>
              </w:rPr>
            </w:pPr>
          </w:p>
        </w:tc>
      </w:tr>
      <w:tr w:rsidR="00CE0479" w:rsidRPr="002B397A" w14:paraId="265C302C" w14:textId="77777777" w:rsidTr="00D634CC">
        <w:tc>
          <w:tcPr>
            <w:tcW w:w="636" w:type="dxa"/>
            <w:vAlign w:val="center"/>
          </w:tcPr>
          <w:p w14:paraId="0DB2990C" w14:textId="77777777" w:rsidR="00CE0479" w:rsidRPr="002B397A" w:rsidRDefault="00CE0479" w:rsidP="00CE0479">
            <w:pPr>
              <w:rPr>
                <w:sz w:val="28"/>
                <w:szCs w:val="28"/>
              </w:rPr>
            </w:pPr>
            <w:r w:rsidRPr="002B397A">
              <w:rPr>
                <w:sz w:val="28"/>
                <w:szCs w:val="28"/>
              </w:rPr>
              <w:t>3</w:t>
            </w:r>
          </w:p>
        </w:tc>
        <w:tc>
          <w:tcPr>
            <w:tcW w:w="4712" w:type="dxa"/>
          </w:tcPr>
          <w:p w14:paraId="17A6204D" w14:textId="0A7E601B" w:rsidR="00CE0479" w:rsidRPr="00CE0479" w:rsidRDefault="00513399" w:rsidP="00CE0479">
            <w:pPr>
              <w:rPr>
                <w:sz w:val="24"/>
                <w:szCs w:val="28"/>
              </w:rPr>
            </w:pPr>
            <w:r w:rsidRPr="00CE0479">
              <w:rPr>
                <w:rFonts w:ascii="Calibri" w:hAnsi="Calibri" w:cs="Calibri"/>
                <w:color w:val="000000"/>
                <w:sz w:val="24"/>
              </w:rPr>
              <w:t>И</w:t>
            </w:r>
            <w:r w:rsidR="00CE0479" w:rsidRPr="00CE0479">
              <w:rPr>
                <w:rFonts w:ascii="Calibri" w:hAnsi="Calibri" w:cs="Calibri"/>
                <w:color w:val="000000"/>
                <w:sz w:val="24"/>
              </w:rPr>
              <w:t>нформация о приобретении владельцами инвестиционных паев закрытого паевого инвестиционного фонда права требовать погашения всех или части принадлежащих им инвестиционных паев (если владельцы инвестиционных паев закрытого паевого инвестиционного фонда голосовали против принятия решения об утверждении изменений и дополнений, вносимых в правила доверительного управления закрытым паевым инвестиционным фондом, или решения о передаче прав и обязанностей по договору доверительного управления закрытым паевым инвестиционным фондом другой управляющей компании, или решения о продлении срока действия договора доверительного управления закрытым паевым инвестиционным фондом);</w:t>
            </w:r>
          </w:p>
        </w:tc>
        <w:tc>
          <w:tcPr>
            <w:tcW w:w="4110" w:type="dxa"/>
            <w:vAlign w:val="center"/>
          </w:tcPr>
          <w:p w14:paraId="5B31F3A0" w14:textId="77777777" w:rsidR="00CE0479" w:rsidRPr="002B397A" w:rsidRDefault="00CE0479" w:rsidP="00CE0479">
            <w:pPr>
              <w:rPr>
                <w:sz w:val="28"/>
                <w:szCs w:val="28"/>
              </w:rPr>
            </w:pPr>
          </w:p>
        </w:tc>
      </w:tr>
      <w:tr w:rsidR="00CE0479" w:rsidRPr="002B397A" w14:paraId="56D07B9C" w14:textId="77777777" w:rsidTr="00D634CC">
        <w:tc>
          <w:tcPr>
            <w:tcW w:w="636" w:type="dxa"/>
            <w:vAlign w:val="center"/>
          </w:tcPr>
          <w:p w14:paraId="3A935568" w14:textId="722B0841" w:rsidR="00CE0479" w:rsidRPr="002B397A" w:rsidRDefault="00CE0479" w:rsidP="00CE0479">
            <w:pPr>
              <w:rPr>
                <w:sz w:val="28"/>
                <w:szCs w:val="28"/>
              </w:rPr>
            </w:pPr>
            <w:r>
              <w:rPr>
                <w:sz w:val="28"/>
                <w:szCs w:val="28"/>
              </w:rPr>
              <w:t>4</w:t>
            </w:r>
          </w:p>
        </w:tc>
        <w:tc>
          <w:tcPr>
            <w:tcW w:w="4712" w:type="dxa"/>
          </w:tcPr>
          <w:p w14:paraId="41403E30" w14:textId="15E88D79" w:rsidR="00CE0479" w:rsidRPr="00CE0479" w:rsidRDefault="00513399" w:rsidP="00CE0479">
            <w:pPr>
              <w:rPr>
                <w:rFonts w:ascii="Calibri" w:hAnsi="Calibri" w:cs="Calibri"/>
                <w:color w:val="000000"/>
                <w:sz w:val="24"/>
                <w:szCs w:val="28"/>
              </w:rPr>
            </w:pPr>
            <w:r w:rsidRPr="00CE0479">
              <w:rPr>
                <w:rFonts w:ascii="Calibri" w:hAnsi="Calibri" w:cs="Calibri"/>
                <w:color w:val="000000"/>
                <w:sz w:val="24"/>
              </w:rPr>
              <w:t>Д</w:t>
            </w:r>
            <w:r w:rsidR="00CE0479" w:rsidRPr="00CE0479">
              <w:rPr>
                <w:rFonts w:ascii="Calibri" w:hAnsi="Calibri" w:cs="Calibri"/>
                <w:color w:val="000000"/>
                <w:sz w:val="24"/>
              </w:rPr>
              <w:t>ата начала и дата окончания срока приема заявок на погашение инвестиционных паев (если владельцы инвестиционных паев закрытого паевого инвестиционного фонда приобрели право требовать погашения инвестиционных паев);</w:t>
            </w:r>
          </w:p>
        </w:tc>
        <w:tc>
          <w:tcPr>
            <w:tcW w:w="4110" w:type="dxa"/>
            <w:vAlign w:val="center"/>
          </w:tcPr>
          <w:p w14:paraId="589E953F" w14:textId="77777777" w:rsidR="00CE0479" w:rsidRPr="002B397A" w:rsidRDefault="00CE0479" w:rsidP="00CE0479">
            <w:pPr>
              <w:rPr>
                <w:sz w:val="28"/>
                <w:szCs w:val="28"/>
              </w:rPr>
            </w:pPr>
          </w:p>
        </w:tc>
      </w:tr>
      <w:tr w:rsidR="00CE0479" w:rsidRPr="002B397A" w14:paraId="1D4671C7" w14:textId="77777777" w:rsidTr="00D634CC">
        <w:tc>
          <w:tcPr>
            <w:tcW w:w="636" w:type="dxa"/>
            <w:vAlign w:val="center"/>
          </w:tcPr>
          <w:p w14:paraId="1722F4D4" w14:textId="77E8982D" w:rsidR="00CE0479" w:rsidRPr="002B397A" w:rsidRDefault="00CE0479" w:rsidP="00CE0479">
            <w:pPr>
              <w:rPr>
                <w:sz w:val="28"/>
                <w:szCs w:val="28"/>
              </w:rPr>
            </w:pPr>
            <w:r>
              <w:rPr>
                <w:sz w:val="28"/>
                <w:szCs w:val="28"/>
              </w:rPr>
              <w:t>5</w:t>
            </w:r>
          </w:p>
        </w:tc>
        <w:tc>
          <w:tcPr>
            <w:tcW w:w="4712" w:type="dxa"/>
          </w:tcPr>
          <w:p w14:paraId="331724BC" w14:textId="1ED5530D" w:rsidR="00CE0479" w:rsidRPr="00CE0479" w:rsidRDefault="00513399" w:rsidP="00CE0479">
            <w:pPr>
              <w:rPr>
                <w:rFonts w:ascii="Calibri" w:hAnsi="Calibri" w:cs="Calibri"/>
                <w:color w:val="000000"/>
                <w:sz w:val="24"/>
                <w:szCs w:val="28"/>
              </w:rPr>
            </w:pPr>
            <w:r w:rsidRPr="00CE0479">
              <w:rPr>
                <w:rFonts w:ascii="Calibri" w:hAnsi="Calibri" w:cs="Calibri"/>
                <w:color w:val="000000"/>
                <w:sz w:val="24"/>
              </w:rPr>
              <w:t>Д</w:t>
            </w:r>
            <w:r w:rsidR="00CE0479" w:rsidRPr="00CE0479">
              <w:rPr>
                <w:rFonts w:ascii="Calibri" w:hAnsi="Calibri" w:cs="Calibri"/>
                <w:color w:val="000000"/>
                <w:sz w:val="24"/>
              </w:rPr>
              <w:t xml:space="preserve">ата проведения в реестре владельцев инвестиционных паев операции дробления инвестиционных паев, коэффициент дробления, разъяснение последствий дробления инвестиционных паев для их владельцев (если изменения и </w:t>
            </w:r>
            <w:r w:rsidR="00CE0479" w:rsidRPr="00CE0479">
              <w:rPr>
                <w:rFonts w:ascii="Calibri" w:hAnsi="Calibri" w:cs="Calibri"/>
                <w:color w:val="000000"/>
                <w:sz w:val="24"/>
              </w:rPr>
              <w:lastRenderedPageBreak/>
              <w:t>дополнения, вносимые в правила доверительного управления закрытым паевым инвестиционным фондом, предусматривают увеличение количества выданных инвестиционных паев закрытого паевого инвестиционного фонда в результате их дробления);</w:t>
            </w:r>
          </w:p>
        </w:tc>
        <w:tc>
          <w:tcPr>
            <w:tcW w:w="4110" w:type="dxa"/>
            <w:vAlign w:val="center"/>
          </w:tcPr>
          <w:p w14:paraId="19E91139" w14:textId="77777777" w:rsidR="00CE0479" w:rsidRPr="002B397A" w:rsidRDefault="00CE0479" w:rsidP="00CE0479">
            <w:pPr>
              <w:rPr>
                <w:sz w:val="28"/>
                <w:szCs w:val="28"/>
              </w:rPr>
            </w:pPr>
          </w:p>
        </w:tc>
      </w:tr>
      <w:tr w:rsidR="00CE0479" w:rsidRPr="002B397A" w14:paraId="089BC18B" w14:textId="77777777" w:rsidTr="00D634CC">
        <w:tc>
          <w:tcPr>
            <w:tcW w:w="636" w:type="dxa"/>
            <w:vAlign w:val="center"/>
          </w:tcPr>
          <w:p w14:paraId="3287B05E" w14:textId="3122EC36" w:rsidR="00CE0479" w:rsidRPr="002B397A" w:rsidRDefault="00CE0479" w:rsidP="00CE0479">
            <w:pPr>
              <w:rPr>
                <w:sz w:val="28"/>
                <w:szCs w:val="28"/>
              </w:rPr>
            </w:pPr>
            <w:r>
              <w:rPr>
                <w:sz w:val="28"/>
                <w:szCs w:val="28"/>
              </w:rPr>
              <w:t>6</w:t>
            </w:r>
          </w:p>
        </w:tc>
        <w:tc>
          <w:tcPr>
            <w:tcW w:w="4712" w:type="dxa"/>
          </w:tcPr>
          <w:p w14:paraId="1A85CE28" w14:textId="3FBB4D93" w:rsidR="00CE0479" w:rsidRPr="00CE0479" w:rsidRDefault="00513399" w:rsidP="00CE0479">
            <w:pPr>
              <w:rPr>
                <w:rFonts w:ascii="Calibri" w:hAnsi="Calibri" w:cs="Calibri"/>
                <w:color w:val="000000"/>
                <w:sz w:val="24"/>
                <w:szCs w:val="28"/>
              </w:rPr>
            </w:pPr>
            <w:r w:rsidRPr="00CE0479">
              <w:rPr>
                <w:rFonts w:ascii="Calibri" w:hAnsi="Calibri" w:cs="Calibri"/>
                <w:color w:val="000000"/>
                <w:sz w:val="24"/>
              </w:rPr>
              <w:t>С</w:t>
            </w:r>
            <w:r w:rsidR="00CE0479" w:rsidRPr="00CE0479">
              <w:rPr>
                <w:rFonts w:ascii="Calibri" w:hAnsi="Calibri" w:cs="Calibri"/>
                <w:color w:val="000000"/>
                <w:sz w:val="24"/>
              </w:rPr>
              <w:t>ведения о необходимости изменения данных анкеты зарегистрированного лица в реестре владельцев инвестиционных паев в части указания реквизитов банковского счета (счетов) зарегистрированного лица (если изменения и дополнения, вносимые в правила доверительного управления паевым инвестиционным фондом, предусматривают установление права владельцев инвестиционных паев на получение дохода по инвестиционному паю);</w:t>
            </w:r>
          </w:p>
        </w:tc>
        <w:tc>
          <w:tcPr>
            <w:tcW w:w="4110" w:type="dxa"/>
            <w:vAlign w:val="center"/>
          </w:tcPr>
          <w:p w14:paraId="1A429D5D" w14:textId="77777777" w:rsidR="00CE0479" w:rsidRPr="002B397A" w:rsidRDefault="00CE0479" w:rsidP="00CE0479">
            <w:pPr>
              <w:rPr>
                <w:sz w:val="28"/>
                <w:szCs w:val="28"/>
              </w:rPr>
            </w:pPr>
          </w:p>
        </w:tc>
      </w:tr>
      <w:tr w:rsidR="00CE0479" w:rsidRPr="002B397A" w14:paraId="4D4C1B02" w14:textId="77777777" w:rsidTr="00D634CC">
        <w:tc>
          <w:tcPr>
            <w:tcW w:w="636" w:type="dxa"/>
            <w:vAlign w:val="center"/>
          </w:tcPr>
          <w:p w14:paraId="3970ACF1" w14:textId="23CCA2D2" w:rsidR="00CE0479" w:rsidRPr="002B397A" w:rsidRDefault="00CE0479" w:rsidP="00CE0479">
            <w:pPr>
              <w:rPr>
                <w:sz w:val="28"/>
                <w:szCs w:val="28"/>
              </w:rPr>
            </w:pPr>
            <w:r>
              <w:rPr>
                <w:sz w:val="28"/>
                <w:szCs w:val="28"/>
              </w:rPr>
              <w:t>7</w:t>
            </w:r>
          </w:p>
        </w:tc>
        <w:tc>
          <w:tcPr>
            <w:tcW w:w="4712" w:type="dxa"/>
          </w:tcPr>
          <w:p w14:paraId="32A76800" w14:textId="696C4A0E" w:rsidR="00CE0479" w:rsidRPr="00CE0479" w:rsidRDefault="00513399" w:rsidP="00CE0479">
            <w:pPr>
              <w:rPr>
                <w:rFonts w:ascii="Calibri" w:hAnsi="Calibri" w:cs="Calibri"/>
                <w:color w:val="000000"/>
                <w:sz w:val="24"/>
                <w:szCs w:val="28"/>
              </w:rPr>
            </w:pPr>
            <w:r w:rsidRPr="00CE0479">
              <w:rPr>
                <w:rFonts w:ascii="Calibri" w:hAnsi="Calibri" w:cs="Calibri"/>
                <w:color w:val="000000"/>
                <w:sz w:val="24"/>
              </w:rPr>
              <w:t>С</w:t>
            </w:r>
            <w:r w:rsidR="00CE0479" w:rsidRPr="00CE0479">
              <w:rPr>
                <w:rFonts w:ascii="Calibri" w:hAnsi="Calibri" w:cs="Calibri"/>
                <w:color w:val="000000"/>
                <w:sz w:val="24"/>
              </w:rPr>
              <w:t>сылка на страницу сайта, на которой размещены изменения и дополнения, вносимые в правила доверительного управления паевым инвестиционным фондом;</w:t>
            </w:r>
          </w:p>
        </w:tc>
        <w:tc>
          <w:tcPr>
            <w:tcW w:w="4110" w:type="dxa"/>
            <w:vAlign w:val="center"/>
          </w:tcPr>
          <w:p w14:paraId="5B4DA8A8" w14:textId="77777777" w:rsidR="00CE0479" w:rsidRPr="002B397A" w:rsidRDefault="00CE0479" w:rsidP="00CE0479">
            <w:pPr>
              <w:rPr>
                <w:sz w:val="28"/>
                <w:szCs w:val="28"/>
              </w:rPr>
            </w:pPr>
          </w:p>
        </w:tc>
      </w:tr>
      <w:tr w:rsidR="00CE0479" w:rsidRPr="002B397A" w14:paraId="4F1F1085" w14:textId="77777777" w:rsidTr="00D634CC">
        <w:tc>
          <w:tcPr>
            <w:tcW w:w="636" w:type="dxa"/>
            <w:vAlign w:val="center"/>
          </w:tcPr>
          <w:p w14:paraId="40CA63CF" w14:textId="7124A3EF" w:rsidR="00CE0479" w:rsidRDefault="00CE0479" w:rsidP="00CE0479">
            <w:pPr>
              <w:rPr>
                <w:sz w:val="28"/>
                <w:szCs w:val="28"/>
              </w:rPr>
            </w:pPr>
            <w:r>
              <w:rPr>
                <w:sz w:val="28"/>
                <w:szCs w:val="28"/>
              </w:rPr>
              <w:t>8</w:t>
            </w:r>
          </w:p>
        </w:tc>
        <w:tc>
          <w:tcPr>
            <w:tcW w:w="4712" w:type="dxa"/>
          </w:tcPr>
          <w:p w14:paraId="2F63D212" w14:textId="3CBE9C3D" w:rsidR="00CE0479" w:rsidRPr="00CE0479" w:rsidRDefault="00513399" w:rsidP="00CE0479">
            <w:pPr>
              <w:rPr>
                <w:rFonts w:ascii="Calibri" w:hAnsi="Calibri" w:cs="Calibri"/>
                <w:color w:val="000000"/>
                <w:sz w:val="24"/>
              </w:rPr>
            </w:pPr>
            <w:r>
              <w:rPr>
                <w:rFonts w:ascii="Calibri" w:hAnsi="Calibri" w:cs="Calibri"/>
                <w:color w:val="000000"/>
                <w:sz w:val="24"/>
              </w:rPr>
              <w:t>С</w:t>
            </w:r>
            <w:r w:rsidR="00CE0479" w:rsidRPr="00CE0479">
              <w:rPr>
                <w:rFonts w:ascii="Calibri" w:hAnsi="Calibri" w:cs="Calibri"/>
                <w:color w:val="000000"/>
                <w:sz w:val="24"/>
              </w:rPr>
              <w:t>сылка на страницу сайта, на которой размещен текст правил доверительного управления паевым инвестиционным фондом с внесенными изменениями и дополнениями в правила доверительного управления паевым инвестиционным фондом</w:t>
            </w:r>
          </w:p>
        </w:tc>
        <w:tc>
          <w:tcPr>
            <w:tcW w:w="4110" w:type="dxa"/>
            <w:vAlign w:val="center"/>
          </w:tcPr>
          <w:p w14:paraId="237EB629" w14:textId="77777777" w:rsidR="00CE0479" w:rsidRPr="002B397A" w:rsidRDefault="00CE0479" w:rsidP="00CE0479">
            <w:pPr>
              <w:rPr>
                <w:sz w:val="28"/>
                <w:szCs w:val="28"/>
              </w:rPr>
            </w:pPr>
          </w:p>
        </w:tc>
      </w:tr>
    </w:tbl>
    <w:p w14:paraId="7E03C135" w14:textId="77777777" w:rsidR="00203627" w:rsidRDefault="00513399"/>
    <w:sectPr w:rsidR="002036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208"/>
    <w:rsid w:val="000C6C71"/>
    <w:rsid w:val="00174208"/>
    <w:rsid w:val="002B397A"/>
    <w:rsid w:val="004359D5"/>
    <w:rsid w:val="00513399"/>
    <w:rsid w:val="00864D14"/>
    <w:rsid w:val="00A6325E"/>
    <w:rsid w:val="00AF61A9"/>
    <w:rsid w:val="00B123CF"/>
    <w:rsid w:val="00CE0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AB9B4"/>
  <w15:chartTrackingRefBased/>
  <w15:docId w15:val="{AB5E62CF-696D-4E04-842D-8053476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3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2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933357">
      <w:bodyDiv w:val="1"/>
      <w:marLeft w:val="0"/>
      <w:marRight w:val="0"/>
      <w:marTop w:val="0"/>
      <w:marBottom w:val="0"/>
      <w:divBdr>
        <w:top w:val="none" w:sz="0" w:space="0" w:color="auto"/>
        <w:left w:val="none" w:sz="0" w:space="0" w:color="auto"/>
        <w:bottom w:val="none" w:sz="0" w:space="0" w:color="auto"/>
        <w:right w:val="none" w:sz="0" w:space="0" w:color="auto"/>
      </w:divBdr>
    </w:div>
    <w:div w:id="875502884">
      <w:bodyDiv w:val="1"/>
      <w:marLeft w:val="0"/>
      <w:marRight w:val="0"/>
      <w:marTop w:val="0"/>
      <w:marBottom w:val="0"/>
      <w:divBdr>
        <w:top w:val="none" w:sz="0" w:space="0" w:color="auto"/>
        <w:left w:val="none" w:sz="0" w:space="0" w:color="auto"/>
        <w:bottom w:val="none" w:sz="0" w:space="0" w:color="auto"/>
        <w:right w:val="none" w:sz="0" w:space="0" w:color="auto"/>
      </w:divBdr>
    </w:div>
    <w:div w:id="1049300898">
      <w:bodyDiv w:val="1"/>
      <w:marLeft w:val="0"/>
      <w:marRight w:val="0"/>
      <w:marTop w:val="0"/>
      <w:marBottom w:val="0"/>
      <w:divBdr>
        <w:top w:val="none" w:sz="0" w:space="0" w:color="auto"/>
        <w:left w:val="none" w:sz="0" w:space="0" w:color="auto"/>
        <w:bottom w:val="none" w:sz="0" w:space="0" w:color="auto"/>
        <w:right w:val="none" w:sz="0" w:space="0" w:color="auto"/>
      </w:divBdr>
    </w:div>
    <w:div w:id="1643845573">
      <w:bodyDiv w:val="1"/>
      <w:marLeft w:val="0"/>
      <w:marRight w:val="0"/>
      <w:marTop w:val="0"/>
      <w:marBottom w:val="0"/>
      <w:divBdr>
        <w:top w:val="none" w:sz="0" w:space="0" w:color="auto"/>
        <w:left w:val="none" w:sz="0" w:space="0" w:color="auto"/>
        <w:bottom w:val="none" w:sz="0" w:space="0" w:color="auto"/>
        <w:right w:val="none" w:sz="0" w:space="0" w:color="auto"/>
      </w:divBdr>
    </w:div>
    <w:div w:id="196650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MOEX</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Ковзель Кристина Андреевна</dc:creator>
  <cp:keywords/>
  <dc:description/>
  <cp:lastModifiedBy>Ковзель Кристина Андреевна</cp:lastModifiedBy>
  <cp:revision>4</cp:revision>
  <dcterms:created xsi:type="dcterms:W3CDTF">2025-08-05T10:20:00Z</dcterms:created>
  <dcterms:modified xsi:type="dcterms:W3CDTF">2025-11-13T12:06:00Z</dcterms:modified>
</cp:coreProperties>
</file>